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7026" w:rsidRDefault="00DA7026" w:rsidP="00DA7026">
      <w:pPr>
        <w:widowControl w:val="0"/>
        <w:autoSpaceDE w:val="0"/>
        <w:autoSpaceDN w:val="0"/>
        <w:adjustRightInd w:val="0"/>
        <w:spacing w:line="420" w:lineRule="exact"/>
        <w:jc w:val="both"/>
        <w:rPr>
          <w:rFonts w:ascii="楷体" w:eastAsia="楷体" w:hAnsi="楷体"/>
          <w:b/>
          <w:bCs/>
          <w:sz w:val="28"/>
          <w:szCs w:val="28"/>
        </w:rPr>
      </w:pPr>
      <w:r>
        <w:rPr>
          <w:rFonts w:ascii="楷体" w:eastAsia="楷体" w:hAnsi="楷体" w:hint="eastAsia"/>
          <w:b/>
          <w:bCs/>
          <w:sz w:val="28"/>
          <w:szCs w:val="28"/>
        </w:rPr>
        <w:t xml:space="preserve">附件4 </w:t>
      </w:r>
    </w:p>
    <w:p w:rsidR="00DA7026" w:rsidRDefault="00DA7026" w:rsidP="00DA7026">
      <w:pPr>
        <w:widowControl w:val="0"/>
        <w:autoSpaceDE w:val="0"/>
        <w:autoSpaceDN w:val="0"/>
        <w:adjustRightInd w:val="0"/>
        <w:spacing w:line="420" w:lineRule="exact"/>
        <w:jc w:val="both"/>
        <w:rPr>
          <w:rFonts w:ascii="楷体" w:eastAsia="楷体" w:hAnsi="楷体"/>
          <w:b/>
          <w:bCs/>
          <w:sz w:val="28"/>
          <w:szCs w:val="28"/>
        </w:rPr>
      </w:pPr>
    </w:p>
    <w:p w:rsidR="00DA7026" w:rsidRDefault="00220E2F" w:rsidP="0041065F">
      <w:pPr>
        <w:widowControl w:val="0"/>
        <w:autoSpaceDE w:val="0"/>
        <w:autoSpaceDN w:val="0"/>
        <w:adjustRightInd w:val="0"/>
        <w:spacing w:line="420" w:lineRule="exact"/>
        <w:jc w:val="center"/>
        <w:rPr>
          <w:rFonts w:ascii="华文中宋" w:eastAsia="华文中宋" w:hAnsi="华文中宋"/>
          <w:sz w:val="32"/>
          <w:szCs w:val="32"/>
        </w:rPr>
      </w:pPr>
      <w:r>
        <w:rPr>
          <w:rFonts w:ascii="华文中宋" w:eastAsia="华文中宋" w:hAnsi="华文中宋" w:hint="eastAsia"/>
          <w:sz w:val="32"/>
          <w:szCs w:val="32"/>
        </w:rPr>
        <w:t xml:space="preserve"> </w:t>
      </w:r>
      <w:bookmarkStart w:id="0" w:name="_GoBack"/>
      <w:bookmarkEnd w:id="0"/>
      <w:r w:rsidR="00DA7026">
        <w:rPr>
          <w:rFonts w:ascii="华文中宋" w:eastAsia="华文中宋" w:hAnsi="华文中宋" w:hint="eastAsia"/>
          <w:sz w:val="32"/>
          <w:szCs w:val="32"/>
        </w:rPr>
        <w:t>中国新闻奖报纸、通讯社新闻专栏代表作基本情况（上半年）</w:t>
      </w:r>
    </w:p>
    <w:p w:rsidR="00DA7026" w:rsidRDefault="00DA7026" w:rsidP="00DA7026">
      <w:pPr>
        <w:widowControl w:val="0"/>
        <w:autoSpaceDE w:val="0"/>
        <w:autoSpaceDN w:val="0"/>
        <w:adjustRightInd w:val="0"/>
        <w:spacing w:line="200" w:lineRule="exact"/>
        <w:jc w:val="both"/>
        <w:rPr>
          <w:rFonts w:ascii="仿宋_GB2312" w:eastAsia="仿宋_GB2312" w:hAnsi="仿宋" w:cs="华文中宋"/>
          <w:sz w:val="24"/>
          <w:szCs w:val="24"/>
        </w:rPr>
      </w:pPr>
    </w:p>
    <w:tbl>
      <w:tblPr>
        <w:tblW w:w="9330" w:type="dxa"/>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588"/>
        <w:gridCol w:w="7742"/>
      </w:tblGrid>
      <w:tr w:rsidR="00DA7026" w:rsidTr="003C6A3B">
        <w:trPr>
          <w:trHeight w:val="664"/>
        </w:trPr>
        <w:tc>
          <w:tcPr>
            <w:tcW w:w="1588" w:type="dxa"/>
          </w:tcPr>
          <w:p w:rsidR="00DA7026" w:rsidRDefault="00DA7026" w:rsidP="003C6A3B">
            <w:pPr>
              <w:pStyle w:val="TableParagraph"/>
              <w:spacing w:before="132"/>
              <w:ind w:left="261"/>
              <w:rPr>
                <w:rFonts w:ascii="华文中宋" w:eastAsia="华文中宋"/>
                <w:sz w:val="28"/>
              </w:rPr>
            </w:pPr>
            <w:r>
              <w:rPr>
                <w:rFonts w:ascii="华文中宋" w:eastAsia="华文中宋" w:hint="eastAsia"/>
                <w:sz w:val="28"/>
              </w:rPr>
              <w:t>作品标题</w:t>
            </w:r>
          </w:p>
        </w:tc>
        <w:tc>
          <w:tcPr>
            <w:tcW w:w="7742" w:type="dxa"/>
          </w:tcPr>
          <w:p w:rsidR="00DA7026" w:rsidRDefault="00DA7026" w:rsidP="003C6A3B">
            <w:pPr>
              <w:pStyle w:val="TableParagraph"/>
              <w:spacing w:line="500" w:lineRule="exact"/>
              <w:ind w:firstLineChars="300" w:firstLine="900"/>
              <w:rPr>
                <w:rFonts w:ascii="Times New Roman"/>
                <w:sz w:val="30"/>
                <w:lang w:val="en-US"/>
              </w:rPr>
            </w:pPr>
            <w:r>
              <w:rPr>
                <w:rFonts w:ascii="Times New Roman"/>
                <w:sz w:val="30"/>
                <w:lang w:val="en-US"/>
              </w:rPr>
              <w:t>Tougher times ahead call for pro-growth policies</w:t>
            </w:r>
          </w:p>
          <w:p w:rsidR="00DA7026" w:rsidRDefault="00DA7026" w:rsidP="003C6A3B">
            <w:pPr>
              <w:pStyle w:val="TableParagraph"/>
              <w:spacing w:line="500" w:lineRule="exact"/>
              <w:ind w:firstLineChars="300" w:firstLine="900"/>
              <w:rPr>
                <w:rFonts w:ascii="Times New Roman"/>
                <w:sz w:val="30"/>
              </w:rPr>
            </w:pPr>
            <w:r>
              <w:rPr>
                <w:rFonts w:ascii="Times New Roman" w:hint="eastAsia"/>
                <w:sz w:val="30"/>
              </w:rPr>
              <w:t>（前路多艰，积极政策需继续加码以促增长）</w:t>
            </w:r>
          </w:p>
        </w:tc>
      </w:tr>
      <w:tr w:rsidR="00DA7026" w:rsidTr="003C6A3B">
        <w:trPr>
          <w:trHeight w:val="579"/>
        </w:trPr>
        <w:tc>
          <w:tcPr>
            <w:tcW w:w="1588" w:type="dxa"/>
          </w:tcPr>
          <w:p w:rsidR="00DA7026" w:rsidRDefault="00DA7026" w:rsidP="003C6A3B">
            <w:pPr>
              <w:pStyle w:val="TableParagraph"/>
              <w:spacing w:before="132"/>
              <w:ind w:left="261"/>
              <w:rPr>
                <w:rFonts w:ascii="华文中宋" w:eastAsia="华文中宋"/>
                <w:sz w:val="28"/>
              </w:rPr>
            </w:pPr>
            <w:r>
              <w:rPr>
                <w:rFonts w:ascii="华文中宋" w:eastAsia="华文中宋" w:hint="eastAsia"/>
                <w:sz w:val="28"/>
              </w:rPr>
              <w:t>发表日期</w:t>
            </w:r>
          </w:p>
        </w:tc>
        <w:tc>
          <w:tcPr>
            <w:tcW w:w="7742" w:type="dxa"/>
          </w:tcPr>
          <w:p w:rsidR="00DA7026" w:rsidRDefault="00DA7026" w:rsidP="003C6A3B">
            <w:pPr>
              <w:pStyle w:val="TableParagraph"/>
              <w:tabs>
                <w:tab w:val="left" w:pos="1410"/>
                <w:tab w:val="left" w:pos="2250"/>
              </w:tabs>
              <w:ind w:left="11" w:firstLineChars="800" w:firstLine="2240"/>
              <w:rPr>
                <w:sz w:val="28"/>
              </w:rPr>
            </w:pPr>
            <w:r>
              <w:rPr>
                <w:sz w:val="28"/>
              </w:rPr>
              <w:t>202</w:t>
            </w:r>
            <w:r>
              <w:rPr>
                <w:rFonts w:hint="eastAsia"/>
                <w:sz w:val="28"/>
                <w:lang w:val="en-US"/>
              </w:rPr>
              <w:t>2</w:t>
            </w:r>
            <w:r>
              <w:rPr>
                <w:sz w:val="28"/>
              </w:rPr>
              <w:t>年</w:t>
            </w:r>
            <w:r>
              <w:rPr>
                <w:rFonts w:hint="eastAsia"/>
                <w:sz w:val="28"/>
                <w:lang w:val="en-US"/>
              </w:rPr>
              <w:t>3</w:t>
            </w:r>
            <w:r>
              <w:rPr>
                <w:sz w:val="28"/>
              </w:rPr>
              <w:t>月</w:t>
            </w:r>
            <w:r>
              <w:rPr>
                <w:rFonts w:hint="eastAsia"/>
                <w:sz w:val="28"/>
                <w:lang w:val="en-US"/>
              </w:rPr>
              <w:t>28</w:t>
            </w:r>
            <w:r>
              <w:rPr>
                <w:sz w:val="28"/>
              </w:rPr>
              <w:t>日</w:t>
            </w:r>
          </w:p>
        </w:tc>
      </w:tr>
      <w:tr w:rsidR="00DA7026" w:rsidTr="003C6A3B">
        <w:trPr>
          <w:trHeight w:val="3505"/>
        </w:trPr>
        <w:tc>
          <w:tcPr>
            <w:tcW w:w="1588" w:type="dxa"/>
          </w:tcPr>
          <w:p w:rsidR="00DA7026" w:rsidRDefault="00DA7026" w:rsidP="003C6A3B">
            <w:pPr>
              <w:pStyle w:val="TableParagraph"/>
              <w:spacing w:before="2"/>
              <w:jc w:val="center"/>
              <w:rPr>
                <w:rFonts w:ascii="华文中宋"/>
                <w:sz w:val="32"/>
              </w:rPr>
            </w:pPr>
          </w:p>
          <w:p w:rsidR="00DA7026" w:rsidRDefault="00DA7026" w:rsidP="003C6A3B">
            <w:pPr>
              <w:pStyle w:val="TableParagraph"/>
              <w:spacing w:line="216" w:lineRule="auto"/>
              <w:ind w:left="345" w:right="331"/>
              <w:jc w:val="center"/>
              <w:rPr>
                <w:rFonts w:ascii="华文中宋" w:eastAsia="华文中宋"/>
                <w:sz w:val="28"/>
              </w:rPr>
            </w:pPr>
            <w:r>
              <w:rPr>
                <w:rFonts w:ascii="华文中宋" w:eastAsia="华文中宋" w:hint="eastAsia"/>
                <w:sz w:val="28"/>
              </w:rPr>
              <w:t>作品 评介</w:t>
            </w:r>
          </w:p>
        </w:tc>
        <w:tc>
          <w:tcPr>
            <w:tcW w:w="7742" w:type="dxa"/>
          </w:tcPr>
          <w:p w:rsidR="00DA7026" w:rsidRDefault="00DA7026" w:rsidP="003C6A3B">
            <w:pPr>
              <w:pStyle w:val="TableParagraph"/>
              <w:spacing w:line="360" w:lineRule="exact"/>
              <w:ind w:firstLineChars="150" w:firstLine="420"/>
              <w:rPr>
                <w:rFonts w:ascii="Times New Roman"/>
                <w:sz w:val="28"/>
                <w:szCs w:val="28"/>
                <w:lang w:val="en-US"/>
              </w:rPr>
            </w:pPr>
            <w:r>
              <w:rPr>
                <w:rFonts w:ascii="Times New Roman" w:hint="eastAsia"/>
                <w:sz w:val="28"/>
                <w:szCs w:val="28"/>
                <w:lang w:val="en-US"/>
              </w:rPr>
              <w:t>稿件极富前瞻性，准确预判了国内外各种不确定因素叠加的背景下，及时出台积极的宏观政策以稳固来之不易的经济复苏的必要性和紧迫性。</w:t>
            </w:r>
          </w:p>
          <w:p w:rsidR="00DA7026" w:rsidRDefault="00DA7026" w:rsidP="003C6A3B">
            <w:pPr>
              <w:pStyle w:val="TableParagraph"/>
              <w:spacing w:line="360" w:lineRule="exact"/>
              <w:ind w:firstLineChars="150" w:firstLine="420"/>
              <w:rPr>
                <w:rFonts w:ascii="Times New Roman"/>
                <w:sz w:val="30"/>
                <w:lang w:val="en-US"/>
              </w:rPr>
            </w:pPr>
            <w:r>
              <w:rPr>
                <w:rFonts w:ascii="Times New Roman" w:hint="eastAsia"/>
                <w:sz w:val="28"/>
                <w:szCs w:val="28"/>
                <w:lang w:val="en-US"/>
              </w:rPr>
              <w:t>此外，稿件逻辑清晰、论证充分，提出了建设性意见：指出要坚持“以我为主”的货币政策，通过清晰的利率调整轨迹向市场释放坚定的稳增长决心；并应支持信用扩张，降低实体企业经营成本。同时，利用财政政策加快支出进度、提高专项债务资金使用效率，加大稳投资力度，确保我国经济社会在面临外部巨大不确定性时，仍能有力保障总需求稳定与高质量发展。</w:t>
            </w:r>
          </w:p>
        </w:tc>
      </w:tr>
      <w:tr w:rsidR="00DA7026" w:rsidTr="003C6A3B">
        <w:trPr>
          <w:trHeight w:val="4844"/>
        </w:trPr>
        <w:tc>
          <w:tcPr>
            <w:tcW w:w="1588" w:type="dxa"/>
          </w:tcPr>
          <w:p w:rsidR="00DA7026" w:rsidRDefault="00DA7026" w:rsidP="003C6A3B">
            <w:pPr>
              <w:pStyle w:val="TableParagraph"/>
              <w:spacing w:before="15"/>
              <w:jc w:val="center"/>
              <w:rPr>
                <w:rFonts w:ascii="华文中宋"/>
                <w:sz w:val="31"/>
              </w:rPr>
            </w:pPr>
          </w:p>
          <w:p w:rsidR="00DA7026" w:rsidRDefault="00DA7026" w:rsidP="003C6A3B">
            <w:pPr>
              <w:pStyle w:val="TableParagraph"/>
              <w:spacing w:line="216" w:lineRule="auto"/>
              <w:ind w:left="345" w:right="331"/>
              <w:jc w:val="center"/>
              <w:rPr>
                <w:rFonts w:ascii="华文中宋" w:eastAsia="华文中宋"/>
                <w:sz w:val="28"/>
              </w:rPr>
            </w:pPr>
            <w:r>
              <w:rPr>
                <w:rFonts w:ascii="华文中宋" w:eastAsia="华文中宋" w:hint="eastAsia"/>
                <w:sz w:val="28"/>
              </w:rPr>
              <w:t>采编 过程</w:t>
            </w:r>
          </w:p>
        </w:tc>
        <w:tc>
          <w:tcPr>
            <w:tcW w:w="7742" w:type="dxa"/>
          </w:tcPr>
          <w:p w:rsidR="00DA7026" w:rsidRDefault="00DA7026" w:rsidP="003C6A3B">
            <w:pPr>
              <w:pStyle w:val="TableParagraph"/>
              <w:spacing w:line="360" w:lineRule="exact"/>
              <w:ind w:firstLineChars="200" w:firstLine="560"/>
              <w:rPr>
                <w:rFonts w:ascii="Times New Roman"/>
                <w:sz w:val="28"/>
                <w:szCs w:val="28"/>
              </w:rPr>
            </w:pPr>
            <w:r>
              <w:rPr>
                <w:rFonts w:ascii="Times New Roman" w:hint="eastAsia"/>
                <w:sz w:val="28"/>
                <w:szCs w:val="28"/>
              </w:rPr>
              <w:t>2022</w:t>
            </w:r>
            <w:r>
              <w:rPr>
                <w:rFonts w:ascii="Times New Roman" w:hint="eastAsia"/>
                <w:sz w:val="28"/>
                <w:szCs w:val="28"/>
              </w:rPr>
              <w:t>年</w:t>
            </w:r>
            <w:r>
              <w:rPr>
                <w:rFonts w:ascii="Times New Roman" w:hint="eastAsia"/>
                <w:sz w:val="28"/>
                <w:szCs w:val="28"/>
              </w:rPr>
              <w:t>3</w:t>
            </w:r>
            <w:r>
              <w:rPr>
                <w:rFonts w:ascii="Times New Roman" w:hint="eastAsia"/>
                <w:sz w:val="28"/>
                <w:szCs w:val="28"/>
              </w:rPr>
              <w:t>月</w:t>
            </w:r>
            <w:r>
              <w:rPr>
                <w:rFonts w:ascii="Times New Roman" w:hint="eastAsia"/>
                <w:sz w:val="28"/>
                <w:szCs w:val="28"/>
              </w:rPr>
              <w:t>15</w:t>
            </w:r>
            <w:r>
              <w:rPr>
                <w:rFonts w:ascii="Times New Roman" w:hint="eastAsia"/>
                <w:sz w:val="28"/>
                <w:szCs w:val="28"/>
              </w:rPr>
              <w:t>日，国家统计局公布了</w:t>
            </w:r>
            <w:r>
              <w:rPr>
                <w:rFonts w:ascii="Times New Roman" w:hint="eastAsia"/>
                <w:sz w:val="28"/>
                <w:szCs w:val="28"/>
              </w:rPr>
              <w:t>1-2</w:t>
            </w:r>
            <w:r>
              <w:rPr>
                <w:rFonts w:ascii="Times New Roman" w:hint="eastAsia"/>
                <w:sz w:val="28"/>
                <w:szCs w:val="28"/>
              </w:rPr>
              <w:t>月份主要经济数据，工业、投资和消费数据全线超预期。但与此同时，中国经济也面临着较大</w:t>
            </w:r>
            <w:r>
              <w:rPr>
                <w:rFonts w:ascii="Times New Roman" w:hint="eastAsia"/>
                <w:sz w:val="28"/>
                <w:szCs w:val="28"/>
                <w:lang w:val="en-US"/>
              </w:rPr>
              <w:t>的</w:t>
            </w:r>
            <w:r>
              <w:rPr>
                <w:rFonts w:ascii="Times New Roman" w:hint="eastAsia"/>
                <w:sz w:val="28"/>
                <w:szCs w:val="28"/>
              </w:rPr>
              <w:t>潜在风险和挑战。于内，中国一方面继续“六稳六保”捍卫经济增长正轨，另一方面不遗余力抗击新冠肺炎疫情；于外，俄乌冲突造成的通胀加剧、粮食安全等问题不断加大国际经济、政治形势的不确定性。</w:t>
            </w:r>
          </w:p>
          <w:p w:rsidR="00DA7026" w:rsidRDefault="00DA7026" w:rsidP="003C6A3B">
            <w:pPr>
              <w:pStyle w:val="TableParagraph"/>
              <w:spacing w:line="360" w:lineRule="exact"/>
              <w:ind w:firstLineChars="200" w:firstLine="560"/>
              <w:rPr>
                <w:rFonts w:ascii="Times New Roman"/>
                <w:sz w:val="30"/>
              </w:rPr>
            </w:pPr>
            <w:r>
              <w:rPr>
                <w:rFonts w:ascii="Times New Roman" w:hint="eastAsia"/>
                <w:sz w:val="28"/>
                <w:szCs w:val="28"/>
              </w:rPr>
              <w:t>编辑意识到在这个时点，巩固来之不易的经济成果至关重要，第一时间邀约中国高端金融专业智库中国金融四十人论坛的专家撰文，呼吁积极的宏观政策尽快落地。同时，由资深宏观记者将专家文章采写成英文稿件，对外展示中国经济的强大韧性和光明市场前景，充分阐释中国作为世界第二大经济体如何能在世界经济陷入疫情、地缘政治等多种不确定因素</w:t>
            </w:r>
            <w:r>
              <w:rPr>
                <w:rFonts w:ascii="Times New Roman" w:hint="eastAsia"/>
                <w:sz w:val="28"/>
                <w:szCs w:val="28"/>
                <w:lang w:val="en-US"/>
              </w:rPr>
              <w:t>的背景</w:t>
            </w:r>
            <w:r>
              <w:rPr>
                <w:rFonts w:ascii="Times New Roman" w:hint="eastAsia"/>
                <w:sz w:val="28"/>
                <w:szCs w:val="28"/>
              </w:rPr>
              <w:t>下，继续坚持高质量发展并稳住发展势头，以稳固市场和投资者信心。</w:t>
            </w:r>
          </w:p>
        </w:tc>
      </w:tr>
      <w:tr w:rsidR="00DA7026" w:rsidTr="003C6A3B">
        <w:trPr>
          <w:trHeight w:val="1502"/>
        </w:trPr>
        <w:tc>
          <w:tcPr>
            <w:tcW w:w="1588" w:type="dxa"/>
          </w:tcPr>
          <w:p w:rsidR="00DA7026" w:rsidRDefault="00DA7026" w:rsidP="003C6A3B">
            <w:pPr>
              <w:pStyle w:val="TableParagraph"/>
              <w:spacing w:line="216" w:lineRule="auto"/>
              <w:ind w:right="331" w:firstLineChars="200" w:firstLine="560"/>
              <w:jc w:val="both"/>
              <w:rPr>
                <w:rFonts w:ascii="华文中宋" w:eastAsia="华文中宋"/>
                <w:sz w:val="28"/>
              </w:rPr>
            </w:pPr>
            <w:r>
              <w:rPr>
                <w:rFonts w:ascii="华文中宋" w:eastAsia="华文中宋" w:hint="eastAsia"/>
                <w:sz w:val="28"/>
              </w:rPr>
              <w:t>社会</w:t>
            </w:r>
          </w:p>
          <w:p w:rsidR="00DA7026" w:rsidRDefault="00DA7026" w:rsidP="003C6A3B">
            <w:pPr>
              <w:pStyle w:val="TableParagraph"/>
              <w:spacing w:line="216" w:lineRule="auto"/>
              <w:ind w:left="345" w:right="331"/>
              <w:jc w:val="center"/>
              <w:rPr>
                <w:rFonts w:ascii="华文中宋" w:eastAsia="华文中宋"/>
                <w:sz w:val="28"/>
              </w:rPr>
            </w:pPr>
            <w:r>
              <w:rPr>
                <w:rFonts w:ascii="华文中宋" w:eastAsia="华文中宋" w:hint="eastAsia"/>
                <w:sz w:val="28"/>
              </w:rPr>
              <w:t>效果</w:t>
            </w:r>
          </w:p>
        </w:tc>
        <w:tc>
          <w:tcPr>
            <w:tcW w:w="7742" w:type="dxa"/>
          </w:tcPr>
          <w:p w:rsidR="00DA7026" w:rsidRDefault="00DA7026" w:rsidP="003C6A3B">
            <w:pPr>
              <w:pStyle w:val="TableParagraph"/>
              <w:spacing w:line="360" w:lineRule="exact"/>
              <w:ind w:firstLineChars="200" w:firstLine="560"/>
              <w:rPr>
                <w:rFonts w:ascii="Times New Roman"/>
                <w:sz w:val="30"/>
                <w:lang w:val="en-US"/>
              </w:rPr>
            </w:pPr>
            <w:r>
              <w:rPr>
                <w:rFonts w:ascii="Times New Roman" w:hint="eastAsia"/>
                <w:sz w:val="28"/>
                <w:szCs w:val="28"/>
              </w:rPr>
              <w:t>该稿刊发后，被全球最大资产管理公司之一的美国富达投资集团研究部转载，同时也被包括《亚洲金融》、加拿大《布雷顿角邮报》在内的多家知名境外媒体转载，传播效果较好。</w:t>
            </w:r>
          </w:p>
        </w:tc>
      </w:tr>
    </w:tbl>
    <w:p w:rsidR="00DA7026" w:rsidRDefault="00DA7026" w:rsidP="00DA7026"/>
    <w:p w:rsidR="00DA7026" w:rsidRDefault="00DA7026" w:rsidP="00DA7026">
      <w:pPr>
        <w:rPr>
          <w:b/>
          <w:bCs/>
        </w:rPr>
      </w:pPr>
      <w:r>
        <w:rPr>
          <w:rFonts w:hint="eastAsia"/>
          <w:b/>
          <w:bCs/>
        </w:rPr>
        <w:t>原文：</w:t>
      </w:r>
    </w:p>
    <w:p w:rsidR="00DA7026" w:rsidRDefault="00DA7026" w:rsidP="00DA7026">
      <w:pPr>
        <w:rPr>
          <w:rFonts w:ascii="黑体" w:eastAsia="黑体" w:hAnsi="黑体" w:cs="楷体"/>
          <w:sz w:val="32"/>
          <w:szCs w:val="32"/>
        </w:rPr>
      </w:pPr>
      <w:r>
        <w:rPr>
          <w:rFonts w:ascii="黑体" w:eastAsia="黑体" w:hAnsi="黑体" w:cs="楷体"/>
          <w:sz w:val="32"/>
          <w:szCs w:val="32"/>
        </w:rPr>
        <w:t>Tougher times ahead call for pro-growth policies</w:t>
      </w:r>
    </w:p>
    <w:p w:rsidR="00DA7026" w:rsidRDefault="00DA7026" w:rsidP="00DA7026">
      <w:pPr>
        <w:rPr>
          <w:rFonts w:ascii="宋体" w:hAnsi="宋体" w:cs="楷体"/>
          <w:szCs w:val="21"/>
        </w:rPr>
      </w:pPr>
    </w:p>
    <w:p w:rsidR="00DA7026" w:rsidRDefault="00DA7026" w:rsidP="00DA7026">
      <w:pPr>
        <w:rPr>
          <w:rFonts w:ascii="宋体" w:hAnsi="宋体" w:cs="楷体"/>
          <w:b/>
          <w:szCs w:val="21"/>
        </w:rPr>
      </w:pPr>
      <w:r>
        <w:rPr>
          <w:rFonts w:ascii="宋体" w:hAnsi="宋体" w:cs="楷体"/>
          <w:b/>
          <w:szCs w:val="21"/>
        </w:rPr>
        <w:t>By Zhu He and Sheng Zhongming</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China should implement expansionary policies as soon as possible to sustain signs of recovery, as its decent economic performance in the first two months of this year was not easily achieved and the country may face fairly huge risks and challenges going forward.</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The country's macroeconomic performance exceeded market expectations in the January-February period, according to the National Bureau of Statistics, thus showing signs of recovery in investment and services consumption.</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In the first two months, the total value added of industrial enterprises above the designated size－those with an annual core business income of more than 20 million yuan ($3.14 million)－grew 7.5 percent year-on-year, 3.2 percentage points higher than that of December 2021.</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The pickup of production indicators showed marginal improvement in supply. China's raw coal production reached 687 million metric tons in the first two months, up 10.3 percent year-on-year, 5.6 percentage points higher than that of last year. In addition, supplies of automotive chips also showed signs of recovery, driving auto production to 4.27 million units during the period, with a year-on-year growth rate of 11.1 percent.</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External demand continued to remain resilient. In the first two months, the country's yuan-denominated exports grew 13.6 percent year-on-year. This demonstrates that China still has an advantage over other countries in global supply chains although we should also take the rise in commodity prices into consideration.</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The real economy, the part of a country's economy that produces actual goods and services, received strong credit support at the beginning of the year. Yuan-denominated loans to the real economy increased by 4.2 trillion yuan in January, reaching a record monthly high. The real economy received sufficient cash flow despite a year-on-year decline in new yuan loans in February. This also helped with the production recovery.</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 xml:space="preserve">With the implementation of stabilization policies, fixed-asset investment also increased 12.2 percent year-on-year in the first two months, a significant </w:t>
      </w:r>
      <w:r>
        <w:rPr>
          <w:rFonts w:ascii="宋体" w:hAnsi="宋体" w:cs="楷体"/>
          <w:b/>
          <w:szCs w:val="21"/>
        </w:rPr>
        <w:lastRenderedPageBreak/>
        <w:t>upswing. Manufacturing investment increased 20.9 percent over the same period, leading to an investment recovery of all of society.</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Infrastructure investment also rose 8.6 percent, driving investment growth in related industries, such as electrical machinery.</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Investment in real estate development also showed signs of recovery, with a growth rate of 3.7 percent. However, some other indicators, including real estate sales and land purchase expenses, dropped sharply, indicating that the housing sector is still facing huge downward pressure.</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The consumption recovery also accelerated but it still takes time for consumption growth to return to normal. Total retail sales of consumer goods increased 6.7 percent year-on-year in the first two months, 5 percentage points higher than that of December 2021. But the growth was still 1.5 percentage points lower than that of the same period of 2019.</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In summary, there were multiple factors behind the country's good macroeconomic performance in the first two months. Thanks to complete domestic industrial chains, China maintained a fairly high level of export expansion while external demand remained resilient. A large increase in total social financing in January helped the corporate sector maintain cash flow performance to a certain extent. In addition, the policy encouraging people to stay put during the Spring Festival holiday to contain COVID-19 also restricted the development of some segments of the services sector, and base effect factors thus came into play.</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The current signs of recovery are not easily won. China's economy may face greater risks and challenges going forward.</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First, the Russia-Ukraine conflict may significantly increase international economic and political uncertainties by raising inflation, restricting the recovery of emerging markets and affecting food security. Therefore, the external environment for China's economic performance may become more unstable. The countries in conflict are important exporters of energy and agricultural products, and comprehensive sanctions on Russia may have a huge negative impact on global supply chains.</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Military conflicts and the sanctions imposed by the United States and Europe on Russia will limit supplies and cause commodity prices to remain high. The US and Europe may have to accelerate their steps for monetary policy tightening due to raised inflation expectations.</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lastRenderedPageBreak/>
        <w:t>The rise in commodity prices, damages to global supply chains and interest rate hikes in the US and Europe will put emerging markets under multiple pressures, including the worsening of international receipts and payments, acceleration in capital outflows and intensification of the external debt risks. As a result, economic and financial risks in emerging markets will be greatly increased.</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It is expected that the Russia-Ukraine conflict will threaten global food security and may intensify social conflicts in low- and middle-income countries that face food insecurity.</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Second, it is difficult to defuse the risks in China's real estate sector in a short time, and this may easily cause an obstruction to credit expansion.</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Although there were signs of recovery of real estate development investment at the beginning of the year, sales figures of commercial housing were still largely lower. At the same time, medium- and long-term loans to households registered a rare decline in February, indicating sluggish demand. Real estate companies may face difficulties in terms of cash flow.</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Considering that some housing companies are under huge debt pressure, tighter cash flow may trigger their own debt crises and may tighten liquidity within the real estate sector and related industries.</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As the current positive manner of economic performance is hard-won and potential risks still exist, China should launch expansionary policies as soon as possible to protect incipient recovery.</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China should take the domestic situation as a dominant factor in setting its monetary policy, demonstrate its firm resolve to stabilize growth through clear interest rate adjustments, stabilize investor confidence in enterprises and markets, support credit expansion and lower operating costs of enterprises.</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The country should also accelerate the pace of government spending, enhance the efficiency of special-purpose debt fund utilization and step up efforts to stabilize investment to ensure that China still has the capability of guaranteeing the stabilization of aggregate demand and high-quality development, while its economy and society are facing enormous external uncertainties.</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 xml:space="preserve">At the same time, against the backdrop of commodity price hikes, the government should provide subsidies to middle- and low-income groups regarding their production activities and consumption of daily necessities to better </w:t>
      </w:r>
      <w:r>
        <w:rPr>
          <w:rFonts w:ascii="宋体" w:hAnsi="宋体" w:cs="楷体"/>
          <w:b/>
          <w:szCs w:val="21"/>
        </w:rPr>
        <w:lastRenderedPageBreak/>
        <w:t>protect people's basic livelihoods. It is also necessary for the government to alleviate pressure on small and medium-sized enterprises to make a profit through structural policy arrangements.</w:t>
      </w:r>
    </w:p>
    <w:p w:rsidR="00DA7026" w:rsidRDefault="00DA7026" w:rsidP="00DA7026">
      <w:pPr>
        <w:rPr>
          <w:rFonts w:ascii="宋体" w:hAnsi="宋体" w:cs="楷体"/>
          <w:b/>
          <w:szCs w:val="21"/>
        </w:rPr>
      </w:pPr>
    </w:p>
    <w:p w:rsidR="00DA7026" w:rsidRDefault="00DA7026" w:rsidP="00DA7026">
      <w:pPr>
        <w:rPr>
          <w:rFonts w:ascii="宋体" w:hAnsi="宋体" w:cs="楷体"/>
          <w:b/>
          <w:i/>
          <w:iCs/>
          <w:szCs w:val="21"/>
        </w:rPr>
      </w:pPr>
      <w:r>
        <w:rPr>
          <w:rFonts w:ascii="宋体" w:hAnsi="宋体" w:cs="楷体"/>
          <w:b/>
          <w:i/>
          <w:iCs/>
          <w:szCs w:val="21"/>
        </w:rPr>
        <w:t>The writers are Zhu He, deputy director of the research department of the China Finance 40 Forum or CF40, a Chinese think tank in the field of finance and economics, and Sheng Zhongming, a research fellow at the CF40.</w:t>
      </w:r>
    </w:p>
    <w:p w:rsidR="00DA7026" w:rsidRDefault="00DA7026" w:rsidP="00DA7026">
      <w:pPr>
        <w:rPr>
          <w:rFonts w:ascii="宋体" w:hAnsi="宋体" w:cs="楷体"/>
          <w:b/>
          <w:i/>
          <w:iCs/>
          <w:szCs w:val="21"/>
        </w:rPr>
      </w:pPr>
    </w:p>
    <w:p w:rsidR="00DA7026" w:rsidRDefault="00DA7026" w:rsidP="00DA7026">
      <w:pPr>
        <w:rPr>
          <w:rFonts w:ascii="宋体" w:hAnsi="宋体" w:cs="楷体"/>
          <w:b/>
          <w:i/>
          <w:iCs/>
          <w:szCs w:val="21"/>
        </w:rPr>
      </w:pPr>
      <w:r>
        <w:rPr>
          <w:rFonts w:ascii="宋体" w:hAnsi="宋体" w:cs="楷体"/>
          <w:b/>
          <w:i/>
          <w:iCs/>
          <w:szCs w:val="21"/>
        </w:rPr>
        <w:t>The views don't necessarily reflect those of China Daily.</w:t>
      </w:r>
    </w:p>
    <w:p w:rsidR="00DA7026" w:rsidRDefault="00DA7026" w:rsidP="00DA7026">
      <w:pPr>
        <w:rPr>
          <w:rFonts w:ascii="宋体" w:hAnsi="宋体" w:cs="楷体"/>
          <w:szCs w:val="21"/>
        </w:rPr>
      </w:pPr>
    </w:p>
    <w:p w:rsidR="00DA7026" w:rsidRDefault="00DA7026" w:rsidP="00DA7026">
      <w:pPr>
        <w:rPr>
          <w:rFonts w:ascii="宋体" w:hAnsi="宋体" w:cs="楷体"/>
          <w:b/>
          <w:szCs w:val="21"/>
        </w:rPr>
      </w:pPr>
    </w:p>
    <w:p w:rsidR="00DA7026" w:rsidRDefault="00DA7026" w:rsidP="00DA7026">
      <w:pPr>
        <w:rPr>
          <w:rFonts w:ascii="宋体" w:hAnsi="宋体" w:cs="楷体"/>
          <w:b/>
          <w:szCs w:val="21"/>
        </w:rPr>
      </w:pPr>
    </w:p>
    <w:p w:rsidR="00DA7026" w:rsidRDefault="00DA7026" w:rsidP="00DA7026">
      <w:pPr>
        <w:rPr>
          <w:rFonts w:ascii="宋体" w:hAnsi="宋体" w:cs="楷体"/>
          <w:b/>
          <w:szCs w:val="21"/>
        </w:rPr>
      </w:pPr>
    </w:p>
    <w:p w:rsidR="00DA7026" w:rsidRDefault="00DA7026" w:rsidP="00DA7026">
      <w:pPr>
        <w:rPr>
          <w:rFonts w:ascii="宋体" w:hAnsi="宋体" w:cs="楷体"/>
          <w:b/>
          <w:szCs w:val="21"/>
        </w:rPr>
      </w:pPr>
    </w:p>
    <w:p w:rsidR="00DA7026" w:rsidRDefault="00DA7026" w:rsidP="00DA7026">
      <w:pPr>
        <w:rPr>
          <w:rFonts w:ascii="宋体" w:hAnsi="宋体" w:cs="楷体"/>
          <w:b/>
          <w:szCs w:val="21"/>
        </w:rPr>
      </w:pP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hint="eastAsia"/>
          <w:b/>
          <w:szCs w:val="21"/>
        </w:rPr>
        <w:t>译文：</w:t>
      </w:r>
    </w:p>
    <w:p w:rsidR="00DA7026" w:rsidRDefault="00DA7026" w:rsidP="00DA7026">
      <w:pPr>
        <w:rPr>
          <w:rFonts w:ascii="宋体" w:hAnsi="宋体" w:cs="楷体"/>
          <w:b/>
          <w:szCs w:val="21"/>
        </w:rPr>
      </w:pPr>
    </w:p>
    <w:p w:rsidR="00DA7026" w:rsidRDefault="00DA7026" w:rsidP="00DA7026">
      <w:pPr>
        <w:jc w:val="center"/>
        <w:rPr>
          <w:rFonts w:ascii="黑体" w:eastAsia="黑体" w:hAnsi="黑体" w:cs="楷体"/>
          <w:sz w:val="44"/>
          <w:szCs w:val="44"/>
        </w:rPr>
      </w:pPr>
      <w:r>
        <w:rPr>
          <w:rFonts w:ascii="黑体" w:eastAsia="黑体" w:hAnsi="黑体" w:cs="楷体"/>
          <w:sz w:val="44"/>
          <w:szCs w:val="44"/>
        </w:rPr>
        <w:t>前路多艰，积极政策需继续加码以促增长</w:t>
      </w:r>
    </w:p>
    <w:p w:rsidR="00DA7026" w:rsidRDefault="00DA7026" w:rsidP="00DA7026">
      <w:pPr>
        <w:jc w:val="center"/>
        <w:rPr>
          <w:rFonts w:ascii="宋体" w:hAnsi="宋体" w:cs="楷体"/>
          <w:b/>
          <w:szCs w:val="21"/>
        </w:rPr>
      </w:pPr>
    </w:p>
    <w:p w:rsidR="00DA7026" w:rsidRDefault="00DA7026" w:rsidP="00DA7026">
      <w:pPr>
        <w:jc w:val="center"/>
        <w:rPr>
          <w:rFonts w:ascii="宋体" w:hAnsi="宋体" w:cs="楷体"/>
          <w:b/>
          <w:szCs w:val="21"/>
        </w:rPr>
      </w:pPr>
      <w:r>
        <w:rPr>
          <w:rFonts w:ascii="宋体" w:hAnsi="宋体" w:cs="楷体"/>
          <w:b/>
          <w:szCs w:val="21"/>
        </w:rPr>
        <w:t>朱鹤 盛中明</w:t>
      </w:r>
    </w:p>
    <w:p w:rsidR="00DA7026" w:rsidRDefault="00DA7026" w:rsidP="00DA7026">
      <w:pPr>
        <w:rPr>
          <w:rFonts w:ascii="宋体" w:hAnsi="宋体"/>
          <w:b/>
          <w:szCs w:val="21"/>
        </w:rPr>
      </w:pP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中国经济在今年开年两个月内能有超预期的表现，实属不易。鉴于未来可能面临的巨大风险和挑战，笔者认为，中国的宏观政策仍需持续加码，以维持复苏良好势头。</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根据国家统计局公布的数据，今年1-2月份我国宏观经济表现显著超过市场预期，在投资、服务消费等领域均表现出复苏迹象。</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今年前两个月，我国规模以上工业企业，即年度核心业务收入超过2000万元人民币（314万美元</w:t>
      </w:r>
      <w:r>
        <w:rPr>
          <w:rStyle w:val="a9"/>
          <w:rFonts w:ascii="宋体" w:hAnsi="宋体" w:cs="楷体"/>
          <w:b/>
          <w:szCs w:val="21"/>
        </w:rPr>
        <w:footnoteReference w:id="1"/>
      </w:r>
      <w:r>
        <w:rPr>
          <w:rFonts w:ascii="宋体" w:hAnsi="宋体" w:cs="楷体"/>
          <w:b/>
          <w:szCs w:val="21"/>
        </w:rPr>
        <w:t>）的企业，其增加值总额同比增长7.5%，较2021年12月提高3.2个百分点。</w:t>
      </w:r>
    </w:p>
    <w:p w:rsidR="00DA7026" w:rsidRDefault="00DA7026" w:rsidP="00DA7026">
      <w:pPr>
        <w:spacing w:line="360" w:lineRule="auto"/>
        <w:ind w:firstLineChars="200" w:firstLine="422"/>
        <w:rPr>
          <w:rFonts w:ascii="宋体" w:hAnsi="宋体" w:cs="楷体"/>
          <w:b/>
          <w:szCs w:val="21"/>
        </w:rPr>
      </w:pPr>
      <w:r>
        <w:rPr>
          <w:rFonts w:ascii="宋体" w:hAnsi="宋体" w:cs="楷体"/>
          <w:b/>
          <w:szCs w:val="21"/>
        </w:rPr>
        <w:t>生产指数回暖表明供给约束的边际改善。今年1-2月期间，我国原煤产量达到6.87亿吨，累计同比</w:t>
      </w:r>
      <w:r>
        <w:rPr>
          <w:rFonts w:ascii="宋体" w:hAnsi="宋体" w:cs="楷体" w:hint="eastAsia"/>
          <w:b/>
          <w:szCs w:val="21"/>
        </w:rPr>
        <w:t>增长</w:t>
      </w:r>
      <w:r>
        <w:rPr>
          <w:rFonts w:ascii="宋体" w:hAnsi="宋体" w:cs="楷体"/>
          <w:b/>
          <w:szCs w:val="21"/>
        </w:rPr>
        <w:t>10.3%，较去年增速高5.6个百分点。此外，汽车芯片供应也有回暖迹象，并推动1-2月汽车产量达到426.6万辆，同比增速达11.1%。</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 xml:space="preserve">外需强韧也是生产回暖的重要因素。今年1-2月期间，人民币计价的出口增速为13.6%。虽然这其中要考虑大宗商品涨价带来的价格效应，但这充分说明我国在全球供应链中仍占据优势地位。 </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lastRenderedPageBreak/>
        <w:t>另外，实体经济，即国民经济中生产实际商品和服务的部分，在年初获得了较强的信贷支持，也是助力回暖的因素之一。据统计，今年1月，新增人民币贷款达到4.2万亿，为历史单月最高值。2月虽有回落，但实体经济部门仍获得了较为充足的现金流，推动了生产回暖。</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伴随着稳增长政策的持续落地，固定资产投资增速也在今年1-2月期间也有显著回升，累计同比增速达到12.2%。其中，制造业投资引领全社会投资恢复，增速高达20.9%。</w:t>
      </w:r>
    </w:p>
    <w:p w:rsidR="00DA7026" w:rsidRDefault="00DA7026" w:rsidP="00DA7026">
      <w:pPr>
        <w:spacing w:line="360" w:lineRule="auto"/>
        <w:rPr>
          <w:rFonts w:ascii="宋体" w:hAnsi="宋体" w:cs="楷体"/>
          <w:b/>
          <w:szCs w:val="21"/>
        </w:rPr>
      </w:pPr>
      <w:r>
        <w:rPr>
          <w:rFonts w:ascii="宋体" w:hAnsi="宋体" w:cs="楷体"/>
          <w:b/>
          <w:szCs w:val="21"/>
        </w:rPr>
        <w:t>基建投资增速在此期间也达到8.6%，带动了如电气机械等制造行业的投资增长。</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房地产开发投资在今年1-2月期间录得3.7%的增速，亦有复苏迹象。但是，在房地产新开工、销售和购地支出等领域的指标仍然可见较大落势，表明当下的房地产行业仍然面临巨大的下行压力。</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除上述行业外，消费恢复的进度也有所加快，但增长势头较正常水平尚有距离。今年1-2月份，社会消费品零售增速同比增速6.7%，较去年12月当月增速快5.0个百分点，但较2019年同期仍低1.5个百分点。</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综上可知，今年开年两个月内所取得的超预期表现，其背后其实有着多重复杂因素。在外需保持韧性的情况下，我国凭借完整的国内产业链维持了较高的出口景气，而一月份社融的大幅扩张在一定程度上帮助了企业部门维持现金流。此外，去年1-2月期间，鉴于疫情防控考虑，国内多地倡导就地过年对部分服务业有所影响，</w:t>
      </w:r>
      <w:r>
        <w:rPr>
          <w:rFonts w:ascii="宋体" w:hAnsi="宋体" w:cs="楷体" w:hint="eastAsia"/>
          <w:b/>
          <w:szCs w:val="21"/>
        </w:rPr>
        <w:t>为今年同期内服务消费的复苏</w:t>
      </w:r>
      <w:r>
        <w:rPr>
          <w:rFonts w:ascii="宋体" w:hAnsi="宋体" w:cs="楷体"/>
          <w:b/>
          <w:szCs w:val="21"/>
        </w:rPr>
        <w:t>带来了基数效应。</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我国经济虽在开年突破重围实现复苏，但在这之后要想实现增长，恐怕仍非坦途。</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首先，俄乌冲突可能会带来通胀加剧，新兴市场复苏受阻，以及影响粮食安全等后果，而这些后果将显著加大当前国际经济、政治形势的不确定性。我国经济运行的外部形势或更趋严峻。俄乌两国均为重要的能源和农产品出口国，加之俄罗斯经济正面临一些经济体的全面制裁，这些都可能对全球供应链造成较大负面影响。</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而军事冲突和美欧制裁带来的供给约束或将促使大宗商品价格持续处于高位，被抬升的通胀预期可能使美欧政策收紧的步伐不得不加快，增加发达经济体经济通胀的风险。</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大宗商品涨价、全球供应链受损以及欧美加息，会给新兴市场带来恶化国际收支、加速资本外流、激化外债风险等多重压力，新兴市场经济金融运行风险显著提高，而其经济复苏也将受到较大负面影响。</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lastRenderedPageBreak/>
        <w:t>俄乌冲突所带来的粮食减产、海运限制和抬升成本等后果将威胁到全球粮食安全，并有可能激化中低收入“缺粮”国家的社会矛盾，从而引发社会动荡。</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其次，我国房地产领域的风险较难在短期内化解，或易使信用扩张面临梗阻。</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今年年初的房地产开发投资虽有复苏迹象，但商品房销售数据仍然可见较大幅度下滑，同时，今年2月份的居民中长期新增信贷位于历史低值，也显示需求较为低迷。各开发商或面临资金短缺困境。</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另外，鉴于部分房企存量债务压力较大，当下现金流紧张的局面不单单有可能引发其自身债务风险，同时也使得房地产及关联行业的流动性继续收紧。</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所以，鉴于积极态势来之不易，和中国面临的潜在风险，我们认为积极的宏观政策要尽快落地，以保住来之不易的复苏势头。</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首先，中国的货币政策要以我为主，通过清晰的利率调整轨迹向市场释放坚定的稳增长决心，稳定企业和市场的投资信心；并且支持信用扩张，降低实体企业经营成本。</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其次，财政政策则应加快支出进度，提高专项债务资金使用效率，加大稳投资力度，借以确保我国经济社会在面临外部巨大不确定性时，仍能有力保障总需求稳定与高质量发展。</w:t>
      </w:r>
    </w:p>
    <w:p w:rsidR="00DA7026" w:rsidRDefault="00DA7026" w:rsidP="00DA7026">
      <w:pPr>
        <w:spacing w:line="360" w:lineRule="auto"/>
        <w:ind w:firstLineChars="196" w:firstLine="413"/>
        <w:rPr>
          <w:rFonts w:ascii="宋体" w:hAnsi="宋体" w:cs="楷体"/>
          <w:b/>
          <w:szCs w:val="21"/>
        </w:rPr>
      </w:pPr>
      <w:r>
        <w:rPr>
          <w:rFonts w:ascii="宋体" w:hAnsi="宋体" w:cs="楷体"/>
          <w:b/>
          <w:szCs w:val="21"/>
        </w:rPr>
        <w:t>同时，在大宗商品涨价的大背景下，政府应对中低收入群体的生产、生活必需品消费进行补贴，以保障基本民生。并通过结构性政策安排，着力缓解中小企业的盈利压力。（完）</w:t>
      </w:r>
    </w:p>
    <w:p w:rsidR="00DA7026" w:rsidRDefault="00DA7026" w:rsidP="00DA7026">
      <w:pPr>
        <w:spacing w:line="360" w:lineRule="auto"/>
        <w:ind w:firstLineChars="196" w:firstLine="413"/>
        <w:rPr>
          <w:rFonts w:ascii="宋体" w:hAnsi="宋体" w:cs="楷体"/>
          <w:b/>
          <w:szCs w:val="21"/>
        </w:rPr>
      </w:pPr>
    </w:p>
    <w:p w:rsidR="00DA7026" w:rsidRDefault="00DA7026" w:rsidP="00DA7026">
      <w:pPr>
        <w:spacing w:line="360" w:lineRule="auto"/>
        <w:rPr>
          <w:rFonts w:ascii="宋体" w:hAnsi="宋体" w:cs="楷体"/>
          <w:b/>
          <w:szCs w:val="21"/>
        </w:rPr>
      </w:pPr>
      <w:r>
        <w:rPr>
          <w:rFonts w:ascii="宋体" w:hAnsi="宋体" w:cs="楷体"/>
          <w:b/>
          <w:szCs w:val="21"/>
        </w:rPr>
        <w:t>本文作者为：朱鹤，中国金融四十人论坛(CF40)研究部副主任；盛中明，中国金融四十人研究院青年研究员。（中国金融四十人论坛为金融专业智库平台）</w:t>
      </w:r>
    </w:p>
    <w:p w:rsidR="00DA7026" w:rsidRDefault="00DA7026" w:rsidP="00DA7026">
      <w:pPr>
        <w:rPr>
          <w:rFonts w:ascii="宋体" w:hAnsi="宋体" w:cs="楷体"/>
          <w:b/>
          <w:szCs w:val="21"/>
        </w:rPr>
      </w:pPr>
    </w:p>
    <w:p w:rsidR="00DA7026" w:rsidRDefault="00DA7026" w:rsidP="00DA7026">
      <w:pPr>
        <w:rPr>
          <w:rFonts w:ascii="宋体" w:hAnsi="宋体" w:cs="楷体"/>
          <w:b/>
          <w:szCs w:val="21"/>
        </w:rPr>
      </w:pPr>
      <w:r>
        <w:rPr>
          <w:rFonts w:ascii="宋体" w:hAnsi="宋体" w:cs="楷体"/>
          <w:b/>
          <w:szCs w:val="21"/>
        </w:rPr>
        <w:t>以上评论仅代表作者观点，不代表本报立场。</w:t>
      </w:r>
    </w:p>
    <w:p w:rsidR="00736F70" w:rsidRPr="00DA7026" w:rsidRDefault="00736F70"/>
    <w:sectPr w:rsidR="00736F70" w:rsidRPr="00DA702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DEA" w:rsidRDefault="00FD4DEA" w:rsidP="00DA7026">
      <w:r>
        <w:separator/>
      </w:r>
    </w:p>
  </w:endnote>
  <w:endnote w:type="continuationSeparator" w:id="0">
    <w:p w:rsidR="00FD4DEA" w:rsidRDefault="00FD4DEA" w:rsidP="00DA7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DEA" w:rsidRDefault="00FD4DEA" w:rsidP="00DA7026">
      <w:r>
        <w:separator/>
      </w:r>
    </w:p>
  </w:footnote>
  <w:footnote w:type="continuationSeparator" w:id="0">
    <w:p w:rsidR="00FD4DEA" w:rsidRDefault="00FD4DEA" w:rsidP="00DA7026">
      <w:r>
        <w:continuationSeparator/>
      </w:r>
    </w:p>
  </w:footnote>
  <w:footnote w:id="1">
    <w:p w:rsidR="00DA7026" w:rsidRDefault="00DA7026" w:rsidP="00DA7026">
      <w:pPr>
        <w:pStyle w:val="a7"/>
      </w:pPr>
      <w:r>
        <w:rPr>
          <w:rStyle w:val="a9"/>
        </w:rPr>
        <w:footnoteRef/>
      </w:r>
      <w:r>
        <w:rPr>
          <w:rFonts w:hint="eastAsia"/>
        </w:rPr>
        <w:t>根据见报当日汇率（</w:t>
      </w:r>
      <w:r>
        <w:rPr>
          <w:rFonts w:hint="eastAsia"/>
        </w:rPr>
        <w:t>1</w:t>
      </w:r>
      <w:r>
        <w:rPr>
          <w:rFonts w:hint="eastAsia"/>
        </w:rPr>
        <w:t>美元对人民币</w:t>
      </w:r>
      <w:r>
        <w:rPr>
          <w:rFonts w:hint="eastAsia"/>
        </w:rPr>
        <w:t>6.3732</w:t>
      </w:r>
      <w:r>
        <w:rPr>
          <w:rFonts w:hint="eastAsia"/>
        </w:rPr>
        <w:t>元），保留小数点两位计算。</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4B3"/>
    <w:rsid w:val="00220E2F"/>
    <w:rsid w:val="0041065F"/>
    <w:rsid w:val="00736F70"/>
    <w:rsid w:val="00CF54B3"/>
    <w:rsid w:val="00D065AA"/>
    <w:rsid w:val="00DA7026"/>
    <w:rsid w:val="00E73AF2"/>
    <w:rsid w:val="00FD4D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216A73"/>
  <w15:chartTrackingRefBased/>
  <w15:docId w15:val="{4228BF5E-A87F-46D5-B0B2-9495AD3ED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7026"/>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7026"/>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DA7026"/>
    <w:rPr>
      <w:sz w:val="18"/>
      <w:szCs w:val="18"/>
    </w:rPr>
  </w:style>
  <w:style w:type="paragraph" w:styleId="a5">
    <w:name w:val="footer"/>
    <w:basedOn w:val="a"/>
    <w:link w:val="a6"/>
    <w:uiPriority w:val="99"/>
    <w:unhideWhenUsed/>
    <w:rsid w:val="00DA7026"/>
    <w:pPr>
      <w:widowControl w:val="0"/>
      <w:tabs>
        <w:tab w:val="center" w:pos="4153"/>
        <w:tab w:val="right" w:pos="8306"/>
      </w:tabs>
      <w:snapToGrid w:val="0"/>
    </w:pPr>
    <w:rPr>
      <w:rFonts w:asciiTheme="minorHAnsi" w:eastAsiaTheme="minorEastAsia" w:hAnsiTheme="minorHAnsi" w:cstheme="minorBidi"/>
      <w:sz w:val="18"/>
      <w:szCs w:val="18"/>
    </w:rPr>
  </w:style>
  <w:style w:type="character" w:customStyle="1" w:styleId="a6">
    <w:name w:val="页脚 字符"/>
    <w:basedOn w:val="a0"/>
    <w:link w:val="a5"/>
    <w:uiPriority w:val="99"/>
    <w:rsid w:val="00DA7026"/>
    <w:rPr>
      <w:sz w:val="18"/>
      <w:szCs w:val="18"/>
    </w:rPr>
  </w:style>
  <w:style w:type="paragraph" w:styleId="a7">
    <w:name w:val="footnote text"/>
    <w:basedOn w:val="a"/>
    <w:link w:val="a8"/>
    <w:uiPriority w:val="99"/>
    <w:unhideWhenUsed/>
    <w:rsid w:val="00DA7026"/>
    <w:pPr>
      <w:widowControl w:val="0"/>
      <w:snapToGrid w:val="0"/>
    </w:pPr>
    <w:rPr>
      <w:sz w:val="18"/>
      <w:szCs w:val="18"/>
    </w:rPr>
  </w:style>
  <w:style w:type="character" w:customStyle="1" w:styleId="a8">
    <w:name w:val="脚注文本 字符"/>
    <w:basedOn w:val="a0"/>
    <w:link w:val="a7"/>
    <w:uiPriority w:val="99"/>
    <w:qFormat/>
    <w:rsid w:val="00DA7026"/>
    <w:rPr>
      <w:rFonts w:ascii="Times New Roman" w:eastAsia="宋体" w:hAnsi="Times New Roman" w:cs="Times New Roman"/>
      <w:sz w:val="18"/>
      <w:szCs w:val="18"/>
    </w:rPr>
  </w:style>
  <w:style w:type="character" w:styleId="a9">
    <w:name w:val="footnote reference"/>
    <w:uiPriority w:val="99"/>
    <w:unhideWhenUsed/>
    <w:rsid w:val="00DA7026"/>
    <w:rPr>
      <w:vertAlign w:val="superscript"/>
    </w:rPr>
  </w:style>
  <w:style w:type="paragraph" w:customStyle="1" w:styleId="TableParagraph">
    <w:name w:val="Table Paragraph"/>
    <w:basedOn w:val="a"/>
    <w:uiPriority w:val="1"/>
    <w:qFormat/>
    <w:rsid w:val="00DA7026"/>
    <w:pPr>
      <w:widowControl w:val="0"/>
      <w:autoSpaceDE w:val="0"/>
      <w:autoSpaceDN w:val="0"/>
    </w:pPr>
    <w:rPr>
      <w:rFonts w:ascii="仿宋" w:eastAsia="仿宋" w:hAnsi="仿宋" w:cs="仿宋"/>
      <w:kern w:val="0"/>
      <w:sz w:val="22"/>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1539</Words>
  <Characters>8777</Characters>
  <Application>Microsoft Office Word</Application>
  <DocSecurity>0</DocSecurity>
  <Lines>73</Lines>
  <Paragraphs>20</Paragraphs>
  <ScaleCrop>false</ScaleCrop>
  <Company/>
  <LinksUpToDate>false</LinksUpToDate>
  <CharactersWithSpaces>10296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2023-04-12T09:07:00Z</dcterms:created>
  <dcterms:modified xsi:type="dcterms:W3CDTF">2023-04-12T09:08:00Z</dcterms:modified>
</cp:coreProperties>
</file>